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49A7" w:rsidRDefault="00A35E4E">
      <w:pPr>
        <w:spacing w:line="40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关于召开“</w:t>
      </w:r>
      <w:r w:rsidR="00CC10A7" w:rsidRPr="00CC10A7">
        <w:rPr>
          <w:rFonts w:ascii="华文中宋" w:eastAsia="华文中宋" w:hAnsi="华文中宋" w:cs="华文中宋" w:hint="eastAsia"/>
          <w:b/>
          <w:sz w:val="44"/>
          <w:szCs w:val="44"/>
        </w:rPr>
        <w:t>2021降解塑料改性、加工与应用论坛</w:t>
      </w:r>
      <w:r>
        <w:rPr>
          <w:rFonts w:ascii="华文中宋" w:eastAsia="华文中宋" w:hAnsi="华文中宋" w:cs="华文中宋" w:hint="eastAsia"/>
          <w:b/>
          <w:sz w:val="44"/>
          <w:szCs w:val="44"/>
        </w:rPr>
        <w:t>”的通知</w:t>
      </w:r>
    </w:p>
    <w:p w:rsidR="002849A7" w:rsidRDefault="00EC4326">
      <w:pPr>
        <w:spacing w:line="400" w:lineRule="exact"/>
        <w:ind w:firstLineChars="200" w:firstLine="480"/>
        <w:rPr>
          <w:rFonts w:ascii="华文中宋" w:eastAsia="华文中宋" w:hAnsi="华文中宋" w:cs="华文中宋"/>
          <w:sz w:val="24"/>
        </w:rPr>
      </w:pPr>
      <w:r>
        <w:rPr>
          <w:rFonts w:ascii="华文中宋" w:eastAsia="华文中宋" w:hAnsi="华文中宋" w:cs="华文中宋"/>
          <w:sz w:val="24"/>
        </w:rPr>
        <w:pict>
          <v:line id="_x0000_s1026" style="position:absolute;left:0;text-align:left;z-index:251657216" from="-2.25pt,.8pt" to="438.75pt,.8pt" strokeweight="2pt"/>
        </w:pict>
      </w:r>
      <w:bookmarkStart w:id="0" w:name="OLE_LINK1"/>
    </w:p>
    <w:bookmarkEnd w:id="0"/>
    <w:p w:rsidR="002849A7" w:rsidRDefault="00A35E4E">
      <w:pPr>
        <w:spacing w:line="400" w:lineRule="exact"/>
        <w:jc w:val="left"/>
        <w:rPr>
          <w:rFonts w:ascii="华文中宋" w:eastAsia="华文中宋" w:hAnsi="华文中宋" w:cs="华文中宋"/>
          <w:sz w:val="24"/>
        </w:rPr>
      </w:pPr>
      <w:r>
        <w:rPr>
          <w:rFonts w:ascii="华文中宋" w:eastAsia="华文中宋" w:hAnsi="华文中宋" w:cs="华文中宋" w:hint="eastAsia"/>
          <w:sz w:val="24"/>
        </w:rPr>
        <w:t>2020年1月，国家发改委、生态环境部印发《关于进一步加强塑料污染治理的意见》；9月，发改委等九部委联合发布《关于扎实推进塑料污染治理工作的通知》。截至2020年10月，中国31个省市自治区已发布各地方塑料污染治理政策，主要就不可降解塑料袋，一次性塑料餐具，宾馆、酒店一次性塑料用品，快递塑料包装等作出限制。</w:t>
      </w:r>
    </w:p>
    <w:p w:rsidR="002849A7" w:rsidRDefault="002849A7">
      <w:pPr>
        <w:spacing w:line="400" w:lineRule="exact"/>
        <w:jc w:val="left"/>
        <w:rPr>
          <w:rFonts w:ascii="华文中宋" w:eastAsia="华文中宋" w:hAnsi="华文中宋" w:cs="华文中宋"/>
          <w:sz w:val="24"/>
        </w:rPr>
      </w:pPr>
    </w:p>
    <w:p w:rsidR="002849A7" w:rsidRDefault="00A35E4E">
      <w:pPr>
        <w:spacing w:line="400" w:lineRule="exact"/>
        <w:jc w:val="left"/>
        <w:rPr>
          <w:rFonts w:ascii="华文中宋" w:eastAsia="华文中宋" w:hAnsi="华文中宋" w:cs="华文中宋"/>
          <w:sz w:val="24"/>
        </w:rPr>
      </w:pPr>
      <w:r>
        <w:rPr>
          <w:rFonts w:ascii="华文中宋" w:eastAsia="华文中宋" w:hAnsi="华文中宋" w:cs="华文中宋" w:hint="eastAsia"/>
          <w:sz w:val="24"/>
        </w:rPr>
        <w:t>生物降解塑料在一定条件下可以在较短时间内被分解成二氧化碳和水，作为受限制塑料制品的可替代方案，生物降解塑料火速站上风口。据亚化咨询统计，截至2020年12月，中国聚乳酸（PLA）、聚羟基脂肪酸酯（PHA）、二元酸二元醇共聚酯系列（PBS、PBAT、PBSA）、聚乙醇酸（PGA）、聚己内酯（PCL）和CO2共聚物六大生物降解塑料年产能约5</w:t>
      </w:r>
      <w:r w:rsidR="00CC10A7">
        <w:rPr>
          <w:rFonts w:ascii="华文中宋" w:eastAsia="华文中宋" w:hAnsi="华文中宋" w:cs="华文中宋" w:hint="eastAsia"/>
          <w:sz w:val="24"/>
        </w:rPr>
        <w:t>6</w:t>
      </w:r>
      <w:r>
        <w:rPr>
          <w:rFonts w:ascii="华文中宋" w:eastAsia="华文中宋" w:hAnsi="华文中宋" w:cs="华文中宋" w:hint="eastAsia"/>
          <w:sz w:val="24"/>
        </w:rPr>
        <w:t>万吨，预计到2021年底将超过100万吨。</w:t>
      </w:r>
    </w:p>
    <w:p w:rsidR="002849A7" w:rsidRDefault="002849A7">
      <w:pPr>
        <w:spacing w:line="400" w:lineRule="exact"/>
        <w:jc w:val="left"/>
        <w:rPr>
          <w:rFonts w:ascii="华文中宋" w:eastAsia="华文中宋" w:hAnsi="华文中宋" w:cs="华文中宋"/>
          <w:sz w:val="24"/>
        </w:rPr>
      </w:pPr>
    </w:p>
    <w:p w:rsidR="002849A7" w:rsidRDefault="0033072D">
      <w:pPr>
        <w:spacing w:line="400" w:lineRule="exact"/>
        <w:jc w:val="left"/>
        <w:rPr>
          <w:rFonts w:ascii="华文中宋" w:eastAsia="华文中宋" w:hAnsi="华文中宋" w:cs="华文中宋"/>
          <w:sz w:val="24"/>
        </w:rPr>
      </w:pPr>
      <w:r>
        <w:rPr>
          <w:rFonts w:ascii="华文中宋" w:eastAsia="华文中宋" w:hAnsi="华文中宋" w:cs="华文中宋" w:hint="eastAsia"/>
          <w:noProof/>
          <w:sz w:val="24"/>
        </w:rPr>
        <w:drawing>
          <wp:anchor distT="0" distB="0" distL="114300" distR="114300" simplePos="0" relativeHeight="251658240" behindDoc="1" locked="0" layoutInCell="1" allowOverlap="1">
            <wp:simplePos x="0" y="0"/>
            <wp:positionH relativeFrom="column">
              <wp:posOffset>5513705</wp:posOffset>
            </wp:positionH>
            <wp:positionV relativeFrom="paragraph">
              <wp:posOffset>8221345</wp:posOffset>
            </wp:positionV>
            <wp:extent cx="1457325" cy="1457325"/>
            <wp:effectExtent l="19050" t="0" r="9525" b="0"/>
            <wp:wrapNone/>
            <wp:docPr id="3" name="图片 3" descr="能源咨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能源咨询章"/>
                    <pic:cNvPicPr>
                      <a:picLocks noChangeAspect="1" noChangeArrowheads="1"/>
                    </pic:cNvPicPr>
                  </pic:nvPicPr>
                  <pic:blipFill>
                    <a:blip r:embed="rId8"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A35E4E">
        <w:rPr>
          <w:rFonts w:ascii="华文中宋" w:eastAsia="华文中宋" w:hAnsi="华文中宋" w:cs="华文中宋" w:hint="eastAsia"/>
          <w:sz w:val="24"/>
        </w:rPr>
        <w:t>生物降解塑料较传统塑料，在耐热性、韧性、高强度机械性能、高耐磨加工性等方面仍有较大差距，使得应用领域受限。生物降解塑料在替代传统塑料的过程中，需要针对性的进行化学和物理改性，以在性能和成本方面满足目标产品的需求。此外，传统塑料加工和应用行业对于生物降解塑料的加工应用也较为缺乏经验，需要生物降解塑料生产商提供更多产品应用技术的支持。</w:t>
      </w:r>
    </w:p>
    <w:p w:rsidR="002849A7" w:rsidRDefault="002849A7">
      <w:pPr>
        <w:spacing w:line="400" w:lineRule="exact"/>
        <w:jc w:val="left"/>
        <w:rPr>
          <w:rFonts w:ascii="华文中宋" w:eastAsia="华文中宋" w:hAnsi="华文中宋" w:cs="华文中宋"/>
          <w:sz w:val="24"/>
        </w:rPr>
      </w:pPr>
    </w:p>
    <w:p w:rsidR="002849A7" w:rsidRDefault="00A35E4E">
      <w:pPr>
        <w:spacing w:line="400" w:lineRule="exact"/>
        <w:jc w:val="left"/>
        <w:rPr>
          <w:rFonts w:ascii="华文中宋" w:eastAsia="华文中宋" w:hAnsi="华文中宋" w:cs="华文中宋"/>
          <w:sz w:val="24"/>
        </w:rPr>
      </w:pPr>
      <w:r>
        <w:rPr>
          <w:rFonts w:ascii="华文中宋" w:eastAsia="华文中宋" w:hAnsi="华文中宋" w:cs="华文中宋" w:hint="eastAsia"/>
          <w:sz w:val="24"/>
        </w:rPr>
        <w:t>目前改性企业面临规模小，工艺与设备不成熟等困境，面对上游百万吨的原料产能释放，下游不断增长的制品需求，生物降解塑料改性、加工与应用作为连接上游与下游的关键步骤，如何衔接好原料与制品，是生物降解塑料行业现今最为紧迫的问题，对于行业健康持续发展有着至关重要的作用。</w:t>
      </w:r>
    </w:p>
    <w:p w:rsidR="002849A7" w:rsidRDefault="002849A7">
      <w:pPr>
        <w:spacing w:line="400" w:lineRule="exact"/>
        <w:jc w:val="left"/>
        <w:rPr>
          <w:rFonts w:ascii="华文中宋" w:eastAsia="华文中宋" w:hAnsi="华文中宋" w:cs="华文中宋"/>
          <w:sz w:val="24"/>
        </w:rPr>
      </w:pPr>
    </w:p>
    <w:p w:rsidR="002849A7" w:rsidRDefault="0033072D">
      <w:pPr>
        <w:spacing w:line="400" w:lineRule="exact"/>
        <w:rPr>
          <w:rFonts w:ascii="华文中宋" w:eastAsia="华文中宋" w:hAnsi="华文中宋" w:cs="华文中宋"/>
          <w:sz w:val="24"/>
        </w:rPr>
      </w:pPr>
      <w:r>
        <w:rPr>
          <w:rFonts w:ascii="华文中宋" w:eastAsia="华文中宋" w:hAnsi="华文中宋" w:cs="华文中宋" w:hint="eastAsia"/>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8221345</wp:posOffset>
            </wp:positionV>
            <wp:extent cx="1457325" cy="1457325"/>
            <wp:effectExtent l="19050" t="0" r="9525" b="0"/>
            <wp:wrapNone/>
            <wp:docPr id="5" name="图片 5" descr="能源咨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能源咨询章"/>
                    <pic:cNvPicPr>
                      <a:picLocks noChangeAspect="1" noChangeArrowheads="1"/>
                    </pic:cNvPicPr>
                  </pic:nvPicPr>
                  <pic:blipFill>
                    <a:blip r:embed="rId8"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A35E4E">
        <w:rPr>
          <w:rFonts w:ascii="华文中宋" w:eastAsia="华文中宋" w:hAnsi="华文中宋" w:cs="华文中宋" w:hint="eastAsia"/>
          <w:sz w:val="24"/>
        </w:rPr>
        <w:t>2021降解塑料改性、加工与应用论坛将于3月18日召开，会议将探讨PLA、PBAT、PHA、PPC、PGA和PCL生产技术与性能特点，大型改性生物降解专用料工厂建设理念与展望，生物降解塑料改性配方设计与改性造粒设备、生物降解塑料发泡，挤出，吹膜，注塑，吸塑，淋膜等加工技术和设备，生物降解塑料的下游应用：膜袋、餐饮具、包装材料、地膜和熔喷料等，生物降解塑料的改性降本路径，生物降解塑料降解机理与测试认证等。</w:t>
      </w:r>
    </w:p>
    <w:p w:rsidR="002849A7" w:rsidRDefault="002849A7">
      <w:pPr>
        <w:spacing w:line="400" w:lineRule="exact"/>
        <w:rPr>
          <w:rFonts w:ascii="华文中宋" w:eastAsia="华文中宋" w:hAnsi="华文中宋" w:cs="华文中宋"/>
          <w:sz w:val="24"/>
        </w:rPr>
      </w:pPr>
    </w:p>
    <w:p w:rsidR="002849A7" w:rsidRDefault="002849A7">
      <w:pPr>
        <w:spacing w:line="400" w:lineRule="exact"/>
        <w:rPr>
          <w:rFonts w:ascii="华文中宋" w:eastAsia="华文中宋" w:hAnsi="华文中宋" w:cs="华文中宋"/>
          <w:sz w:val="24"/>
        </w:rPr>
      </w:pPr>
    </w:p>
    <w:p w:rsidR="002849A7" w:rsidRDefault="002849A7">
      <w:pPr>
        <w:spacing w:line="400" w:lineRule="exact"/>
        <w:rPr>
          <w:rFonts w:ascii="华文中宋" w:eastAsia="华文中宋" w:hAnsi="华文中宋" w:cs="华文中宋"/>
          <w:sz w:val="24"/>
        </w:rPr>
      </w:pPr>
    </w:p>
    <w:p w:rsidR="002849A7" w:rsidRDefault="002849A7">
      <w:pPr>
        <w:spacing w:line="400" w:lineRule="exact"/>
        <w:rPr>
          <w:rFonts w:ascii="Arial" w:hAnsi="Arial" w:cs="Arial"/>
          <w:sz w:val="24"/>
        </w:rPr>
      </w:pPr>
    </w:p>
    <w:p w:rsidR="002849A7" w:rsidRDefault="00A35E4E">
      <w:pPr>
        <w:spacing w:line="400" w:lineRule="exact"/>
        <w:jc w:val="left"/>
        <w:rPr>
          <w:rFonts w:ascii="华文中宋" w:eastAsia="华文中宋" w:hAnsi="华文中宋" w:cs="华文中宋"/>
          <w:sz w:val="24"/>
        </w:rPr>
      </w:pPr>
      <w:r>
        <w:rPr>
          <w:rFonts w:ascii="华文中宋" w:eastAsia="华文中宋" w:hAnsi="华文中宋" w:cs="华文中宋" w:hint="eastAsia"/>
          <w:sz w:val="24"/>
        </w:rPr>
        <w:t>有关事宜通知如下：</w:t>
      </w:r>
    </w:p>
    <w:p w:rsidR="002849A7" w:rsidRDefault="002849A7">
      <w:pPr>
        <w:spacing w:line="400" w:lineRule="exact"/>
        <w:rPr>
          <w:rFonts w:ascii="华文中宋" w:eastAsia="华文中宋" w:hAnsi="华文中宋" w:cs="华文中宋"/>
          <w:sz w:val="24"/>
        </w:rPr>
      </w:pPr>
    </w:p>
    <w:p w:rsidR="002849A7" w:rsidRPr="007B50DD" w:rsidRDefault="00A35E4E">
      <w:pPr>
        <w:numPr>
          <w:ilvl w:val="0"/>
          <w:numId w:val="1"/>
        </w:numPr>
        <w:spacing w:line="400" w:lineRule="exact"/>
        <w:rPr>
          <w:rFonts w:ascii="华文中宋" w:eastAsia="华文中宋" w:hAnsi="华文中宋" w:cs="华文中宋"/>
          <w:b/>
          <w:sz w:val="24"/>
        </w:rPr>
      </w:pPr>
      <w:r w:rsidRPr="007B50DD">
        <w:rPr>
          <w:rFonts w:ascii="华文中宋" w:eastAsia="华文中宋" w:hAnsi="华文中宋" w:cs="华文中宋" w:hint="eastAsia"/>
          <w:b/>
          <w:sz w:val="24"/>
        </w:rPr>
        <w:t>研讨会议题：</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1.PLA、PBAT、PHA、PPC、PGA和PCL生产技术与性能特点</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2.大型改性生物降解专用料工厂建设理念与展望</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3.改性助剂在生物降解塑料中的应用</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4.聚乳酸和PBAT混配、改性和加工应用技术</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5.生物降解塑料改性配方设计与改性造粒设备</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6.生物降解塑料发泡，挤出，吹膜，注塑，吸塑，淋膜等加工工艺研究</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7.服务于生物降解塑料的先进塑料成型设备</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8.生物降解塑料的下游应用：膜袋、餐饮具、包装材料、地膜、纤维</w:t>
      </w:r>
      <w:r w:rsidR="00CC10A7">
        <w:rPr>
          <w:rFonts w:ascii="华文中宋" w:eastAsia="华文中宋" w:hAnsi="华文中宋" w:cs="华文中宋" w:hint="eastAsia"/>
          <w:sz w:val="24"/>
        </w:rPr>
        <w:t>、熔喷料</w:t>
      </w:r>
      <w:r>
        <w:rPr>
          <w:rFonts w:ascii="华文中宋" w:eastAsia="华文中宋" w:hAnsi="华文中宋" w:cs="华文中宋" w:hint="eastAsia"/>
          <w:sz w:val="24"/>
        </w:rPr>
        <w:t>等</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9.通过化学及物理改性提升降解塑料性能：PBAT、PLA</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10.生物降解塑料的改性降本路径</w:t>
      </w:r>
    </w:p>
    <w:p w:rsidR="002849A7" w:rsidRPr="00CC10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11.</w:t>
      </w:r>
      <w:bookmarkStart w:id="1" w:name="_GoBack"/>
      <w:bookmarkEnd w:id="1"/>
      <w:r w:rsidR="00CC10A7" w:rsidRPr="00CC10A7">
        <w:rPr>
          <w:rFonts w:ascii="华文中宋" w:eastAsia="华文中宋" w:hAnsi="华文中宋" w:cs="华文中宋" w:hint="eastAsia"/>
          <w:sz w:val="24"/>
        </w:rPr>
        <w:t>生物降解塑料的耐热改性方法</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12.生物降解塑料在高端市场的应用</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13.生物降解塑料改性专用料理化技术标准与加工工艺标准</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14.生物降解塑料降解条件及机理研究</w:t>
      </w:r>
    </w:p>
    <w:p w:rsidR="002849A7" w:rsidRDefault="00A35E4E">
      <w:pPr>
        <w:spacing w:line="400" w:lineRule="exact"/>
        <w:rPr>
          <w:rFonts w:ascii="华文中宋" w:eastAsia="华文中宋" w:hAnsi="华文中宋" w:cs="华文中宋"/>
          <w:sz w:val="24"/>
        </w:rPr>
      </w:pPr>
      <w:r>
        <w:rPr>
          <w:rFonts w:ascii="华文中宋" w:eastAsia="华文中宋" w:hAnsi="华文中宋" w:cs="华文中宋" w:hint="eastAsia"/>
          <w:sz w:val="24"/>
        </w:rPr>
        <w:t>15.生物降解塑料的测试和认证</w:t>
      </w:r>
    </w:p>
    <w:p w:rsidR="002849A7" w:rsidRPr="007B50DD" w:rsidRDefault="00A35E4E">
      <w:pPr>
        <w:numPr>
          <w:ilvl w:val="0"/>
          <w:numId w:val="1"/>
        </w:numPr>
        <w:spacing w:line="400" w:lineRule="exact"/>
        <w:rPr>
          <w:rFonts w:ascii="华文中宋" w:eastAsia="华文中宋" w:hAnsi="华文中宋" w:cs="华文中宋"/>
          <w:b/>
          <w:sz w:val="24"/>
        </w:rPr>
      </w:pPr>
      <w:r w:rsidRPr="007B50DD">
        <w:rPr>
          <w:rFonts w:ascii="华文中宋" w:eastAsia="华文中宋" w:hAnsi="华文中宋" w:cs="华文中宋" w:hint="eastAsia"/>
          <w:b/>
          <w:sz w:val="24"/>
        </w:rPr>
        <w:t>时间：2021年3月18日</w:t>
      </w:r>
    </w:p>
    <w:p w:rsidR="007B50DD" w:rsidRPr="007B50DD" w:rsidRDefault="00A35E4E">
      <w:pPr>
        <w:numPr>
          <w:ilvl w:val="0"/>
          <w:numId w:val="1"/>
        </w:numPr>
        <w:spacing w:line="400" w:lineRule="exact"/>
        <w:rPr>
          <w:rFonts w:ascii="华文中宋" w:eastAsia="华文中宋" w:hAnsi="华文中宋" w:cs="华文中宋"/>
          <w:b/>
          <w:sz w:val="24"/>
        </w:rPr>
      </w:pPr>
      <w:r w:rsidRPr="007B50DD">
        <w:rPr>
          <w:rFonts w:ascii="华文中宋" w:eastAsia="华文中宋" w:hAnsi="华文中宋" w:cs="华文中宋" w:hint="eastAsia"/>
          <w:b/>
          <w:sz w:val="24"/>
        </w:rPr>
        <w:t>会议注册费和回执：</w:t>
      </w:r>
    </w:p>
    <w:tbl>
      <w:tblPr>
        <w:tblpPr w:leftFromText="180" w:rightFromText="180" w:vertAnchor="text" w:horzAnchor="margin" w:tblpXSpec="center" w:tblpY="90"/>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94"/>
        <w:gridCol w:w="2758"/>
      </w:tblGrid>
      <w:tr w:rsidR="007B50DD" w:rsidRPr="007B50DD" w:rsidTr="007B50DD">
        <w:trPr>
          <w:trHeight w:val="360"/>
        </w:trPr>
        <w:tc>
          <w:tcPr>
            <w:tcW w:w="2268" w:type="dxa"/>
            <w:vAlign w:val="center"/>
          </w:tcPr>
          <w:p w:rsidR="007B50DD" w:rsidRPr="007B50DD" w:rsidRDefault="007B50DD" w:rsidP="00261CE8">
            <w:pPr>
              <w:widowControl/>
              <w:rPr>
                <w:rFonts w:ascii="宋体" w:hAnsi="宋体" w:cs="宋体" w:hint="eastAsia"/>
                <w:b/>
                <w:kern w:val="0"/>
                <w:sz w:val="20"/>
                <w:szCs w:val="20"/>
              </w:rPr>
            </w:pPr>
          </w:p>
        </w:tc>
        <w:tc>
          <w:tcPr>
            <w:tcW w:w="1494" w:type="dxa"/>
            <w:vAlign w:val="center"/>
          </w:tcPr>
          <w:p w:rsidR="007B50DD" w:rsidRPr="007B50DD" w:rsidRDefault="007B50DD" w:rsidP="00261CE8">
            <w:pPr>
              <w:widowControl/>
              <w:jc w:val="center"/>
              <w:rPr>
                <w:rFonts w:ascii="宋体" w:hAnsi="宋体" w:cs="宋体"/>
                <w:b/>
                <w:kern w:val="0"/>
                <w:sz w:val="24"/>
              </w:rPr>
            </w:pPr>
            <w:r w:rsidRPr="007B50DD">
              <w:rPr>
                <w:rFonts w:ascii="宋体" w:hAnsi="宋体" w:cs="宋体" w:hint="eastAsia"/>
                <w:b/>
                <w:kern w:val="0"/>
                <w:sz w:val="20"/>
                <w:szCs w:val="20"/>
              </w:rPr>
              <w:t>1人</w:t>
            </w:r>
          </w:p>
        </w:tc>
        <w:tc>
          <w:tcPr>
            <w:tcW w:w="2758" w:type="dxa"/>
            <w:vAlign w:val="center"/>
          </w:tcPr>
          <w:p w:rsidR="007B50DD" w:rsidRPr="007B50DD" w:rsidRDefault="007B50DD" w:rsidP="00261CE8">
            <w:pPr>
              <w:widowControl/>
              <w:jc w:val="center"/>
              <w:rPr>
                <w:rFonts w:ascii="宋体" w:hAnsi="宋体" w:cs="宋体"/>
                <w:b/>
                <w:kern w:val="0"/>
                <w:sz w:val="24"/>
              </w:rPr>
            </w:pPr>
            <w:r w:rsidRPr="007B50DD">
              <w:rPr>
                <w:rFonts w:ascii="宋体" w:hAnsi="宋体" w:cs="宋体" w:hint="eastAsia"/>
                <w:b/>
                <w:kern w:val="0"/>
                <w:sz w:val="20"/>
                <w:szCs w:val="20"/>
              </w:rPr>
              <w:t>团队报名（同一公司≥</w:t>
            </w:r>
            <w:r w:rsidRPr="007B50DD">
              <w:rPr>
                <w:rFonts w:ascii="宋体" w:hAnsi="宋体" w:cs="宋体"/>
                <w:b/>
                <w:kern w:val="0"/>
                <w:sz w:val="20"/>
                <w:szCs w:val="20"/>
              </w:rPr>
              <w:t>3</w:t>
            </w:r>
            <w:r w:rsidRPr="007B50DD">
              <w:rPr>
                <w:rFonts w:ascii="宋体" w:hAnsi="宋体" w:cs="宋体" w:hint="eastAsia"/>
                <w:b/>
                <w:kern w:val="0"/>
                <w:sz w:val="20"/>
                <w:szCs w:val="20"/>
              </w:rPr>
              <w:t>人）</w:t>
            </w:r>
          </w:p>
        </w:tc>
      </w:tr>
      <w:tr w:rsidR="007B50DD" w:rsidRPr="007B50DD" w:rsidTr="007B50DD">
        <w:trPr>
          <w:trHeight w:val="204"/>
        </w:trPr>
        <w:tc>
          <w:tcPr>
            <w:tcW w:w="2268" w:type="dxa"/>
            <w:vAlign w:val="center"/>
          </w:tcPr>
          <w:p w:rsidR="007B50DD" w:rsidRPr="007B50DD" w:rsidRDefault="007B50DD" w:rsidP="00261CE8">
            <w:pPr>
              <w:widowControl/>
              <w:jc w:val="center"/>
              <w:rPr>
                <w:rFonts w:ascii="Arial" w:hAnsi="Arial" w:cs="Arial"/>
                <w:b/>
                <w:kern w:val="0"/>
                <w:szCs w:val="21"/>
              </w:rPr>
            </w:pPr>
            <w:r w:rsidRPr="007B50DD">
              <w:rPr>
                <w:rFonts w:ascii="Arial" w:hAnsi="Arial" w:cs="Arial" w:hint="eastAsia"/>
                <w:b/>
                <w:kern w:val="0"/>
                <w:sz w:val="20"/>
                <w:szCs w:val="20"/>
              </w:rPr>
              <w:t>3.18</w:t>
            </w:r>
            <w:r w:rsidRPr="007B50DD">
              <w:rPr>
                <w:rFonts w:ascii="Arial" w:hAnsi="Arial" w:cs="Arial" w:hint="eastAsia"/>
                <w:b/>
                <w:kern w:val="0"/>
                <w:sz w:val="20"/>
                <w:szCs w:val="20"/>
              </w:rPr>
              <w:t>全天</w:t>
            </w:r>
            <w:r w:rsidRPr="007B50DD">
              <w:rPr>
                <w:rFonts w:ascii="Arial" w:hAnsi="宋体" w:cs="Arial"/>
                <w:b/>
                <w:kern w:val="0"/>
                <w:sz w:val="20"/>
                <w:szCs w:val="20"/>
              </w:rPr>
              <w:t>会议</w:t>
            </w:r>
          </w:p>
        </w:tc>
        <w:tc>
          <w:tcPr>
            <w:tcW w:w="1494" w:type="dxa"/>
            <w:vAlign w:val="center"/>
          </w:tcPr>
          <w:p w:rsidR="007B50DD" w:rsidRPr="007B50DD" w:rsidRDefault="007B50DD" w:rsidP="00261CE8">
            <w:pPr>
              <w:widowControl/>
              <w:rPr>
                <w:rFonts w:ascii="宋体" w:hAnsi="宋体" w:cs="宋体"/>
                <w:b/>
                <w:kern w:val="0"/>
                <w:sz w:val="24"/>
              </w:rPr>
            </w:pPr>
            <w:r w:rsidRPr="007B50DD">
              <w:rPr>
                <w:rFonts w:ascii="宋体" w:cs="宋体" w:hint="eastAsia"/>
                <w:b/>
                <w:kern w:val="0"/>
                <w:szCs w:val="21"/>
              </w:rPr>
              <w:t xml:space="preserve">□ </w:t>
            </w:r>
            <w:r w:rsidRPr="007B50DD">
              <w:rPr>
                <w:rFonts w:hint="eastAsia"/>
                <w:b/>
                <w:kern w:val="0"/>
                <w:sz w:val="20"/>
                <w:szCs w:val="20"/>
              </w:rPr>
              <w:t>3500</w:t>
            </w:r>
            <w:r w:rsidRPr="007B50DD">
              <w:rPr>
                <w:rFonts w:hint="eastAsia"/>
                <w:b/>
                <w:kern w:val="0"/>
                <w:sz w:val="20"/>
                <w:szCs w:val="20"/>
              </w:rPr>
              <w:t>元</w:t>
            </w:r>
            <w:r w:rsidRPr="007B50DD">
              <w:rPr>
                <w:rFonts w:hint="eastAsia"/>
                <w:b/>
                <w:kern w:val="0"/>
                <w:sz w:val="20"/>
                <w:szCs w:val="20"/>
              </w:rPr>
              <w:t>/</w:t>
            </w:r>
            <w:r w:rsidRPr="007B50DD">
              <w:rPr>
                <w:rFonts w:hint="eastAsia"/>
                <w:b/>
                <w:kern w:val="0"/>
                <w:sz w:val="20"/>
                <w:szCs w:val="20"/>
              </w:rPr>
              <w:t>人</w:t>
            </w:r>
          </w:p>
        </w:tc>
        <w:tc>
          <w:tcPr>
            <w:tcW w:w="2758" w:type="dxa"/>
            <w:vAlign w:val="center"/>
          </w:tcPr>
          <w:p w:rsidR="007B50DD" w:rsidRPr="007B50DD" w:rsidRDefault="007B50DD" w:rsidP="00261CE8">
            <w:pPr>
              <w:widowControl/>
              <w:jc w:val="center"/>
              <w:rPr>
                <w:rFonts w:ascii="宋体" w:hAnsi="宋体" w:cs="宋体"/>
                <w:b/>
                <w:kern w:val="0"/>
                <w:sz w:val="24"/>
              </w:rPr>
            </w:pPr>
            <w:r w:rsidRPr="007B50DD">
              <w:rPr>
                <w:rFonts w:ascii="宋体" w:cs="宋体" w:hint="eastAsia"/>
                <w:b/>
                <w:kern w:val="0"/>
                <w:szCs w:val="21"/>
              </w:rPr>
              <w:t xml:space="preserve">□ </w:t>
            </w:r>
            <w:r w:rsidRPr="007B50DD">
              <w:rPr>
                <w:rFonts w:hint="eastAsia"/>
                <w:b/>
                <w:kern w:val="0"/>
                <w:sz w:val="20"/>
                <w:szCs w:val="20"/>
              </w:rPr>
              <w:t>2900</w:t>
            </w:r>
            <w:r w:rsidRPr="007B50DD">
              <w:rPr>
                <w:rFonts w:hint="eastAsia"/>
                <w:b/>
                <w:kern w:val="0"/>
                <w:sz w:val="20"/>
                <w:szCs w:val="20"/>
              </w:rPr>
              <w:t>元</w:t>
            </w:r>
            <w:r w:rsidRPr="007B50DD">
              <w:rPr>
                <w:rFonts w:hint="eastAsia"/>
                <w:b/>
                <w:kern w:val="0"/>
                <w:sz w:val="20"/>
                <w:szCs w:val="20"/>
              </w:rPr>
              <w:t>/</w:t>
            </w:r>
            <w:r w:rsidRPr="007B50DD">
              <w:rPr>
                <w:rFonts w:hint="eastAsia"/>
                <w:b/>
                <w:kern w:val="0"/>
                <w:sz w:val="20"/>
                <w:szCs w:val="20"/>
              </w:rPr>
              <w:t>人</w:t>
            </w:r>
          </w:p>
        </w:tc>
      </w:tr>
    </w:tbl>
    <w:p w:rsidR="002849A7" w:rsidRPr="007B50DD" w:rsidRDefault="00A35E4E" w:rsidP="007B50DD">
      <w:pPr>
        <w:numPr>
          <w:ilvl w:val="0"/>
          <w:numId w:val="1"/>
        </w:numPr>
        <w:spacing w:line="400" w:lineRule="exact"/>
        <w:rPr>
          <w:rFonts w:ascii="华文中宋" w:eastAsia="华文中宋" w:hAnsi="华文中宋" w:cs="华文中宋"/>
          <w:b/>
          <w:sz w:val="24"/>
        </w:rPr>
      </w:pPr>
      <w:r w:rsidRPr="007B50DD">
        <w:rPr>
          <w:rFonts w:ascii="华文中宋" w:eastAsia="华文中宋" w:hAnsi="华文中宋" w:cs="华文中宋" w:hint="eastAsia"/>
          <w:b/>
          <w:sz w:val="24"/>
        </w:rPr>
        <w:t>报到时间：2021年3月17日  16：00-21：00</w:t>
      </w:r>
    </w:p>
    <w:p w:rsidR="007B50DD" w:rsidRPr="007B50DD" w:rsidRDefault="00A35E4E">
      <w:pPr>
        <w:numPr>
          <w:ilvl w:val="0"/>
          <w:numId w:val="1"/>
        </w:numPr>
        <w:spacing w:line="400" w:lineRule="exact"/>
        <w:rPr>
          <w:rFonts w:ascii="华文中宋" w:eastAsia="华文中宋" w:hAnsi="华文中宋" w:cs="华文中宋" w:hint="eastAsia"/>
          <w:b/>
          <w:sz w:val="24"/>
        </w:rPr>
      </w:pPr>
      <w:r w:rsidRPr="007B50DD">
        <w:rPr>
          <w:rFonts w:ascii="华文中宋" w:eastAsia="华文中宋" w:hAnsi="华文中宋" w:cs="华文中宋" w:hint="eastAsia"/>
          <w:b/>
          <w:sz w:val="24"/>
        </w:rPr>
        <w:t>联系人及联系方式：</w:t>
      </w:r>
    </w:p>
    <w:p w:rsidR="002849A7" w:rsidRPr="007B50DD" w:rsidRDefault="007B50DD" w:rsidP="007B50DD">
      <w:pPr>
        <w:spacing w:line="400" w:lineRule="exact"/>
        <w:ind w:left="200" w:firstLineChars="250" w:firstLine="601"/>
        <w:rPr>
          <w:rFonts w:ascii="华文中宋" w:eastAsia="华文中宋" w:hAnsi="华文中宋" w:cs="华文中宋"/>
          <w:b/>
          <w:sz w:val="24"/>
        </w:rPr>
      </w:pPr>
      <w:r w:rsidRPr="007B50DD">
        <w:rPr>
          <w:rFonts w:ascii="华文中宋" w:eastAsia="华文中宋" w:hAnsi="华文中宋" w:cs="华文中宋" w:hint="eastAsia"/>
          <w:b/>
          <w:sz w:val="24"/>
        </w:rPr>
        <w:t>高经理  18019142773（同微信号）  ella@chemweekly.com</w:t>
      </w:r>
    </w:p>
    <w:p w:rsidR="002849A7" w:rsidRDefault="002849A7" w:rsidP="00CC10A7">
      <w:pPr>
        <w:spacing w:line="400" w:lineRule="exact"/>
        <w:ind w:leftChars="94" w:left="197" w:firstLineChars="267" w:firstLine="641"/>
        <w:rPr>
          <w:rFonts w:ascii="华文中宋" w:eastAsia="华文中宋" w:hAnsi="华文中宋" w:cs="华文中宋"/>
          <w:sz w:val="24"/>
        </w:rPr>
      </w:pPr>
    </w:p>
    <w:p w:rsidR="002849A7" w:rsidRDefault="00A35E4E">
      <w:pPr>
        <w:spacing w:line="400" w:lineRule="exact"/>
        <w:ind w:leftChars="171" w:left="359" w:right="-1" w:firstLineChars="200" w:firstLine="480"/>
        <w:rPr>
          <w:rFonts w:ascii="华文中宋" w:eastAsia="华文中宋" w:hAnsi="华文中宋" w:cs="华文中宋"/>
          <w:color w:val="000000"/>
          <w:sz w:val="24"/>
        </w:rPr>
      </w:pPr>
      <w:r>
        <w:rPr>
          <w:rFonts w:ascii="华文中宋" w:eastAsia="华文中宋" w:hAnsi="华文中宋" w:cs="华文中宋" w:hint="eastAsia"/>
          <w:color w:val="000000"/>
          <w:sz w:val="24"/>
        </w:rPr>
        <w:t>此次会议的召开，将有利于提高我国可降解塑料产业化关键技术及装备水平，促进降解塑料制品开发，对接降解塑料产业融资，加快降解塑料产业发展，对生物基材料新兴产业的未来发展也将产生积极而深远的影响。</w:t>
      </w:r>
    </w:p>
    <w:p w:rsidR="002849A7" w:rsidRDefault="00A35E4E">
      <w:pPr>
        <w:spacing w:line="400" w:lineRule="exact"/>
        <w:ind w:leftChars="171" w:left="359" w:right="-1" w:firstLineChars="200" w:firstLine="480"/>
        <w:rPr>
          <w:rFonts w:ascii="华文中宋" w:eastAsia="华文中宋" w:hAnsi="华文中宋" w:cs="华文中宋"/>
          <w:color w:val="000000"/>
          <w:sz w:val="24"/>
        </w:rPr>
      </w:pPr>
      <w:r>
        <w:rPr>
          <w:rFonts w:ascii="华文中宋" w:eastAsia="华文中宋" w:hAnsi="华文中宋" w:cs="华文中宋" w:hint="eastAsia"/>
          <w:color w:val="000000"/>
          <w:sz w:val="24"/>
        </w:rPr>
        <w:t>作为此次大会的举办方，上海亚化咨询公司诚挚邀请贵司派代表参与此次会议。</w:t>
      </w:r>
    </w:p>
    <w:p w:rsidR="002849A7" w:rsidRDefault="0033072D">
      <w:pPr>
        <w:spacing w:line="400" w:lineRule="exact"/>
        <w:ind w:leftChars="171" w:left="359" w:right="-1" w:firstLineChars="200" w:firstLine="480"/>
        <w:jc w:val="right"/>
        <w:rPr>
          <w:rFonts w:ascii="华文中宋" w:eastAsia="华文中宋" w:hAnsi="华文中宋" w:cs="华文中宋"/>
          <w:color w:val="000000"/>
          <w:sz w:val="24"/>
        </w:rPr>
      </w:pPr>
      <w:r>
        <w:rPr>
          <w:rFonts w:ascii="华文中宋" w:eastAsia="华文中宋" w:hAnsi="华文中宋" w:cs="华文中宋" w:hint="eastAsia"/>
          <w:noProof/>
          <w:color w:val="000000"/>
          <w:sz w:val="24"/>
        </w:rPr>
        <w:drawing>
          <wp:anchor distT="0" distB="0" distL="114300" distR="114300" simplePos="0" relativeHeight="251661312" behindDoc="1" locked="0" layoutInCell="1" allowOverlap="1">
            <wp:simplePos x="0" y="0"/>
            <wp:positionH relativeFrom="column">
              <wp:posOffset>3925570</wp:posOffset>
            </wp:positionH>
            <wp:positionV relativeFrom="paragraph">
              <wp:posOffset>177800</wp:posOffset>
            </wp:positionV>
            <wp:extent cx="1466215" cy="1456055"/>
            <wp:effectExtent l="19050" t="0" r="635" b="0"/>
            <wp:wrapNone/>
            <wp:docPr id="6" name="图片 6" descr="能源咨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能源咨询章"/>
                    <pic:cNvPicPr>
                      <a:picLocks noChangeAspect="1" noChangeArrowheads="1"/>
                    </pic:cNvPicPr>
                  </pic:nvPicPr>
                  <pic:blipFill>
                    <a:blip r:embed="rId9" cstate="print"/>
                    <a:srcRect/>
                    <a:stretch>
                      <a:fillRect/>
                    </a:stretch>
                  </pic:blipFill>
                  <pic:spPr bwMode="auto">
                    <a:xfrm>
                      <a:off x="0" y="0"/>
                      <a:ext cx="1466215" cy="1456055"/>
                    </a:xfrm>
                    <a:prstGeom prst="rect">
                      <a:avLst/>
                    </a:prstGeom>
                    <a:noFill/>
                    <a:ln w="9525">
                      <a:noFill/>
                      <a:miter lim="800000"/>
                      <a:headEnd/>
                      <a:tailEnd/>
                    </a:ln>
                  </pic:spPr>
                </pic:pic>
              </a:graphicData>
            </a:graphic>
          </wp:anchor>
        </w:drawing>
      </w:r>
      <w:r w:rsidR="00A35E4E">
        <w:rPr>
          <w:rFonts w:ascii="华文中宋" w:eastAsia="华文中宋" w:hAnsi="华文中宋" w:cs="华文中宋" w:hint="eastAsia"/>
          <w:color w:val="000000"/>
          <w:sz w:val="24"/>
        </w:rPr>
        <w:t>上海亚化咨询公司</w:t>
      </w:r>
    </w:p>
    <w:p w:rsidR="002849A7" w:rsidRDefault="0033072D">
      <w:pPr>
        <w:spacing w:line="400" w:lineRule="exact"/>
        <w:ind w:leftChars="171" w:left="359" w:right="-1" w:firstLineChars="200" w:firstLine="480"/>
        <w:jc w:val="right"/>
        <w:rPr>
          <w:rFonts w:ascii="华文中宋" w:eastAsia="华文中宋" w:hAnsi="华文中宋" w:cs="华文中宋"/>
          <w:color w:val="000000"/>
          <w:sz w:val="24"/>
        </w:rPr>
      </w:pPr>
      <w:r>
        <w:rPr>
          <w:rFonts w:ascii="华文中宋" w:eastAsia="华文中宋" w:hAnsi="华文中宋" w:cs="华文中宋" w:hint="eastAsia"/>
          <w:noProof/>
          <w:color w:val="000000"/>
          <w:sz w:val="24"/>
        </w:rPr>
        <w:drawing>
          <wp:anchor distT="0" distB="0" distL="114300" distR="114300" simplePos="0" relativeHeight="251659264" behindDoc="1" locked="0" layoutInCell="1" allowOverlap="1">
            <wp:simplePos x="0" y="0"/>
            <wp:positionH relativeFrom="column">
              <wp:posOffset>5513705</wp:posOffset>
            </wp:positionH>
            <wp:positionV relativeFrom="paragraph">
              <wp:posOffset>8221345</wp:posOffset>
            </wp:positionV>
            <wp:extent cx="1457325" cy="1457325"/>
            <wp:effectExtent l="19050" t="0" r="9525" b="0"/>
            <wp:wrapNone/>
            <wp:docPr id="4" name="图片 4" descr="能源咨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能源咨询章"/>
                    <pic:cNvPicPr>
                      <a:picLocks noChangeAspect="1" noChangeArrowheads="1"/>
                    </pic:cNvPicPr>
                  </pic:nvPicPr>
                  <pic:blipFill>
                    <a:blip r:embed="rId8"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A35E4E">
        <w:rPr>
          <w:rFonts w:ascii="华文中宋" w:eastAsia="华文中宋" w:hAnsi="华文中宋" w:cs="华文中宋" w:hint="eastAsia"/>
          <w:color w:val="000000"/>
          <w:sz w:val="24"/>
        </w:rPr>
        <w:t xml:space="preserve">                              202</w:t>
      </w:r>
      <w:r>
        <w:rPr>
          <w:rFonts w:ascii="华文中宋" w:eastAsia="华文中宋" w:hAnsi="华文中宋" w:cs="华文中宋" w:hint="eastAsia"/>
          <w:color w:val="000000"/>
          <w:sz w:val="24"/>
        </w:rPr>
        <w:t>1</w:t>
      </w:r>
      <w:r w:rsidR="00A35E4E">
        <w:rPr>
          <w:rFonts w:ascii="华文中宋" w:eastAsia="华文中宋" w:hAnsi="华文中宋" w:cs="华文中宋" w:hint="eastAsia"/>
          <w:color w:val="000000"/>
          <w:sz w:val="24"/>
        </w:rPr>
        <w:t>年</w:t>
      </w:r>
      <w:r w:rsidR="00A35E4E">
        <w:rPr>
          <w:rFonts w:ascii="华文中宋" w:eastAsia="华文中宋" w:hAnsi="华文中宋" w:cs="华文中宋" w:hint="eastAsia"/>
          <w:color w:val="000000"/>
          <w:sz w:val="24"/>
        </w:rPr>
        <w:tab/>
      </w:r>
      <w:r>
        <w:rPr>
          <w:rFonts w:ascii="华文中宋" w:eastAsia="华文中宋" w:hAnsi="华文中宋" w:cs="华文中宋" w:hint="eastAsia"/>
          <w:color w:val="000000"/>
          <w:sz w:val="24"/>
        </w:rPr>
        <w:t>3</w:t>
      </w:r>
      <w:r w:rsidR="00A35E4E">
        <w:rPr>
          <w:rFonts w:ascii="华文中宋" w:eastAsia="华文中宋" w:hAnsi="华文中宋" w:cs="华文中宋" w:hint="eastAsia"/>
          <w:color w:val="000000"/>
          <w:sz w:val="24"/>
        </w:rPr>
        <w:t>月</w:t>
      </w:r>
    </w:p>
    <w:p w:rsidR="0033072D" w:rsidRDefault="0033072D" w:rsidP="007B50DD">
      <w:pPr>
        <w:spacing w:line="400" w:lineRule="exact"/>
        <w:ind w:leftChars="171" w:left="359" w:right="119" w:firstLineChars="200" w:firstLine="480"/>
        <w:jc w:val="right"/>
        <w:rPr>
          <w:rFonts w:ascii="华文中宋" w:eastAsia="华文中宋" w:hAnsi="华文中宋" w:cs="华文中宋"/>
          <w:color w:val="000000"/>
          <w:sz w:val="24"/>
        </w:rPr>
      </w:pPr>
    </w:p>
    <w:sectPr w:rsidR="0033072D" w:rsidSect="008D5600">
      <w:pgSz w:w="11906" w:h="16838"/>
      <w:pgMar w:top="1096" w:right="1646" w:bottom="1560" w:left="1701"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22" w:rsidRDefault="00112622" w:rsidP="00CC10A7">
      <w:r>
        <w:separator/>
      </w:r>
    </w:p>
  </w:endnote>
  <w:endnote w:type="continuationSeparator" w:id="0">
    <w:p w:rsidR="00112622" w:rsidRDefault="00112622" w:rsidP="00CC1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22" w:rsidRDefault="00112622" w:rsidP="00CC10A7">
      <w:r>
        <w:separator/>
      </w:r>
    </w:p>
  </w:footnote>
  <w:footnote w:type="continuationSeparator" w:id="0">
    <w:p w:rsidR="00112622" w:rsidRDefault="00112622" w:rsidP="00CC1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AF5"/>
    <w:multiLevelType w:val="multilevel"/>
    <w:tmpl w:val="3DE24AF5"/>
    <w:lvl w:ilvl="0">
      <w:start w:val="1"/>
      <w:numFmt w:val="japaneseCounting"/>
      <w:lvlText w:val="%1、"/>
      <w:lvlJc w:val="left"/>
      <w:pPr>
        <w:ind w:left="920" w:hanging="7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5C14"/>
    <w:rsid w:val="000242A0"/>
    <w:rsid w:val="00032CAC"/>
    <w:rsid w:val="00047104"/>
    <w:rsid w:val="00065799"/>
    <w:rsid w:val="000859F6"/>
    <w:rsid w:val="00086872"/>
    <w:rsid w:val="000922E5"/>
    <w:rsid w:val="000B2AE1"/>
    <w:rsid w:val="000B36F1"/>
    <w:rsid w:val="000C04C4"/>
    <w:rsid w:val="000C1118"/>
    <w:rsid w:val="000D4AB5"/>
    <w:rsid w:val="000F1EA9"/>
    <w:rsid w:val="000F4337"/>
    <w:rsid w:val="00112622"/>
    <w:rsid w:val="00122A90"/>
    <w:rsid w:val="00132410"/>
    <w:rsid w:val="001325A5"/>
    <w:rsid w:val="001443AD"/>
    <w:rsid w:val="0014460A"/>
    <w:rsid w:val="00172A27"/>
    <w:rsid w:val="001858DC"/>
    <w:rsid w:val="001A4291"/>
    <w:rsid w:val="001C0F93"/>
    <w:rsid w:val="001F4F76"/>
    <w:rsid w:val="002113E9"/>
    <w:rsid w:val="0022452E"/>
    <w:rsid w:val="002330C1"/>
    <w:rsid w:val="00237015"/>
    <w:rsid w:val="00242682"/>
    <w:rsid w:val="00265418"/>
    <w:rsid w:val="00272853"/>
    <w:rsid w:val="00272A1E"/>
    <w:rsid w:val="00273D00"/>
    <w:rsid w:val="002849A7"/>
    <w:rsid w:val="00296497"/>
    <w:rsid w:val="002B44B5"/>
    <w:rsid w:val="002B6149"/>
    <w:rsid w:val="0033072D"/>
    <w:rsid w:val="00331918"/>
    <w:rsid w:val="003501D2"/>
    <w:rsid w:val="00361ADD"/>
    <w:rsid w:val="00370090"/>
    <w:rsid w:val="003732DB"/>
    <w:rsid w:val="00382DD6"/>
    <w:rsid w:val="00386F5C"/>
    <w:rsid w:val="00397691"/>
    <w:rsid w:val="003A6286"/>
    <w:rsid w:val="003D27D8"/>
    <w:rsid w:val="003F101E"/>
    <w:rsid w:val="003F25B8"/>
    <w:rsid w:val="00401087"/>
    <w:rsid w:val="004148BF"/>
    <w:rsid w:val="00442384"/>
    <w:rsid w:val="00465CC4"/>
    <w:rsid w:val="004663FD"/>
    <w:rsid w:val="00480355"/>
    <w:rsid w:val="0048037B"/>
    <w:rsid w:val="004A57C8"/>
    <w:rsid w:val="004E1B95"/>
    <w:rsid w:val="004E4CD3"/>
    <w:rsid w:val="0050294E"/>
    <w:rsid w:val="0052037C"/>
    <w:rsid w:val="005222EA"/>
    <w:rsid w:val="00526867"/>
    <w:rsid w:val="00535747"/>
    <w:rsid w:val="00536FB0"/>
    <w:rsid w:val="00540B50"/>
    <w:rsid w:val="00563858"/>
    <w:rsid w:val="00564F30"/>
    <w:rsid w:val="00591C8C"/>
    <w:rsid w:val="005931CB"/>
    <w:rsid w:val="005B6AEB"/>
    <w:rsid w:val="005C64C9"/>
    <w:rsid w:val="0066527A"/>
    <w:rsid w:val="00690F8B"/>
    <w:rsid w:val="006C0D01"/>
    <w:rsid w:val="006D626B"/>
    <w:rsid w:val="006E5A5A"/>
    <w:rsid w:val="00701F5F"/>
    <w:rsid w:val="007457EE"/>
    <w:rsid w:val="007519C1"/>
    <w:rsid w:val="00756F40"/>
    <w:rsid w:val="0076102B"/>
    <w:rsid w:val="007B50DD"/>
    <w:rsid w:val="007B5964"/>
    <w:rsid w:val="007C7704"/>
    <w:rsid w:val="007F5488"/>
    <w:rsid w:val="00822059"/>
    <w:rsid w:val="00847691"/>
    <w:rsid w:val="008551F6"/>
    <w:rsid w:val="008562D3"/>
    <w:rsid w:val="008710E9"/>
    <w:rsid w:val="0087140C"/>
    <w:rsid w:val="008774E0"/>
    <w:rsid w:val="00882743"/>
    <w:rsid w:val="00884857"/>
    <w:rsid w:val="008A01AA"/>
    <w:rsid w:val="008A3EBC"/>
    <w:rsid w:val="008C2C76"/>
    <w:rsid w:val="008D5600"/>
    <w:rsid w:val="008D6750"/>
    <w:rsid w:val="008F2132"/>
    <w:rsid w:val="00903526"/>
    <w:rsid w:val="00931140"/>
    <w:rsid w:val="0094664C"/>
    <w:rsid w:val="00973116"/>
    <w:rsid w:val="00977744"/>
    <w:rsid w:val="00983B0E"/>
    <w:rsid w:val="00996148"/>
    <w:rsid w:val="009E1101"/>
    <w:rsid w:val="00A35E4E"/>
    <w:rsid w:val="00A42FB5"/>
    <w:rsid w:val="00A458D8"/>
    <w:rsid w:val="00A63E24"/>
    <w:rsid w:val="00A67792"/>
    <w:rsid w:val="00A854C5"/>
    <w:rsid w:val="00AB368C"/>
    <w:rsid w:val="00AC4C0F"/>
    <w:rsid w:val="00B052F0"/>
    <w:rsid w:val="00B24050"/>
    <w:rsid w:val="00B30A5B"/>
    <w:rsid w:val="00B64A2E"/>
    <w:rsid w:val="00B81100"/>
    <w:rsid w:val="00B93E61"/>
    <w:rsid w:val="00B958E2"/>
    <w:rsid w:val="00B976C7"/>
    <w:rsid w:val="00BC5FF2"/>
    <w:rsid w:val="00C35945"/>
    <w:rsid w:val="00C40C69"/>
    <w:rsid w:val="00C422BF"/>
    <w:rsid w:val="00C45C6C"/>
    <w:rsid w:val="00C667AC"/>
    <w:rsid w:val="00C73B26"/>
    <w:rsid w:val="00C802C1"/>
    <w:rsid w:val="00C83A18"/>
    <w:rsid w:val="00C83B19"/>
    <w:rsid w:val="00C83B62"/>
    <w:rsid w:val="00C90089"/>
    <w:rsid w:val="00C95E51"/>
    <w:rsid w:val="00CA5D75"/>
    <w:rsid w:val="00CA6EB5"/>
    <w:rsid w:val="00CA7199"/>
    <w:rsid w:val="00CC10A7"/>
    <w:rsid w:val="00D05506"/>
    <w:rsid w:val="00D2583A"/>
    <w:rsid w:val="00D35185"/>
    <w:rsid w:val="00D57514"/>
    <w:rsid w:val="00D655A3"/>
    <w:rsid w:val="00D71F06"/>
    <w:rsid w:val="00D73BA3"/>
    <w:rsid w:val="00D77553"/>
    <w:rsid w:val="00D813A8"/>
    <w:rsid w:val="00D90CD6"/>
    <w:rsid w:val="00DC4120"/>
    <w:rsid w:val="00DC7182"/>
    <w:rsid w:val="00E05C55"/>
    <w:rsid w:val="00E221F0"/>
    <w:rsid w:val="00E303AC"/>
    <w:rsid w:val="00E517E1"/>
    <w:rsid w:val="00E7265C"/>
    <w:rsid w:val="00E77AA5"/>
    <w:rsid w:val="00E8654B"/>
    <w:rsid w:val="00E87807"/>
    <w:rsid w:val="00EA240D"/>
    <w:rsid w:val="00EA4EEB"/>
    <w:rsid w:val="00EC4326"/>
    <w:rsid w:val="00EC5552"/>
    <w:rsid w:val="00EC67CB"/>
    <w:rsid w:val="00ED3494"/>
    <w:rsid w:val="00ED7E1A"/>
    <w:rsid w:val="00EE1C90"/>
    <w:rsid w:val="00EE4485"/>
    <w:rsid w:val="00F13129"/>
    <w:rsid w:val="00F507B3"/>
    <w:rsid w:val="00F53435"/>
    <w:rsid w:val="00FA2718"/>
    <w:rsid w:val="00FB3150"/>
    <w:rsid w:val="00FE6567"/>
    <w:rsid w:val="00FE6FB9"/>
    <w:rsid w:val="03DC4C72"/>
    <w:rsid w:val="0AE357B0"/>
    <w:rsid w:val="0F564BBA"/>
    <w:rsid w:val="0F9A58F2"/>
    <w:rsid w:val="10746FED"/>
    <w:rsid w:val="109A1529"/>
    <w:rsid w:val="12C629D8"/>
    <w:rsid w:val="152557D2"/>
    <w:rsid w:val="17C96DD1"/>
    <w:rsid w:val="1B7247B2"/>
    <w:rsid w:val="25525739"/>
    <w:rsid w:val="25F170A0"/>
    <w:rsid w:val="327238A6"/>
    <w:rsid w:val="37DD4D47"/>
    <w:rsid w:val="411C25C2"/>
    <w:rsid w:val="4E0624C7"/>
    <w:rsid w:val="500E57E3"/>
    <w:rsid w:val="50E3341E"/>
    <w:rsid w:val="5241677F"/>
    <w:rsid w:val="52AE4630"/>
    <w:rsid w:val="52B32D00"/>
    <w:rsid w:val="5A17072E"/>
    <w:rsid w:val="5CA27A00"/>
    <w:rsid w:val="5D6963D1"/>
    <w:rsid w:val="61496187"/>
    <w:rsid w:val="62220221"/>
    <w:rsid w:val="634D5578"/>
    <w:rsid w:val="68AE4DA9"/>
    <w:rsid w:val="6AD90882"/>
    <w:rsid w:val="6B731F7B"/>
    <w:rsid w:val="7544109E"/>
    <w:rsid w:val="7CE76D36"/>
    <w:rsid w:val="7FEA2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5600"/>
    <w:rPr>
      <w:sz w:val="18"/>
      <w:szCs w:val="18"/>
    </w:rPr>
  </w:style>
  <w:style w:type="paragraph" w:styleId="a4">
    <w:name w:val="footer"/>
    <w:basedOn w:val="a"/>
    <w:qFormat/>
    <w:rsid w:val="008D5600"/>
    <w:pPr>
      <w:tabs>
        <w:tab w:val="center" w:pos="4153"/>
        <w:tab w:val="right" w:pos="8306"/>
      </w:tabs>
      <w:snapToGrid w:val="0"/>
      <w:jc w:val="left"/>
    </w:pPr>
    <w:rPr>
      <w:sz w:val="18"/>
    </w:rPr>
  </w:style>
  <w:style w:type="paragraph" w:styleId="a5">
    <w:name w:val="header"/>
    <w:basedOn w:val="a"/>
    <w:qFormat/>
    <w:rsid w:val="008D56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D5600"/>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8D5600"/>
    <w:rPr>
      <w:color w:val="0000FF"/>
      <w:u w:val="single"/>
    </w:rPr>
  </w:style>
  <w:style w:type="paragraph" w:customStyle="1" w:styleId="1">
    <w:name w:val="列出段落1"/>
    <w:basedOn w:val="a"/>
    <w:uiPriority w:val="34"/>
    <w:qFormat/>
    <w:rsid w:val="008D5600"/>
    <w:pPr>
      <w:ind w:firstLineChars="200" w:firstLine="420"/>
    </w:pPr>
  </w:style>
  <w:style w:type="paragraph" w:customStyle="1" w:styleId="p0">
    <w:name w:val="p0"/>
    <w:basedOn w:val="a"/>
    <w:qFormat/>
    <w:rsid w:val="008D5600"/>
    <w:pPr>
      <w:widowControl/>
    </w:pPr>
    <w:rPr>
      <w:kern w:val="0"/>
      <w:szCs w:val="21"/>
    </w:rPr>
  </w:style>
  <w:style w:type="paragraph" w:customStyle="1" w:styleId="2">
    <w:name w:val="列出段落2"/>
    <w:basedOn w:val="a"/>
    <w:uiPriority w:val="34"/>
    <w:qFormat/>
    <w:rsid w:val="008D5600"/>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rsid w:val="008D5600"/>
    <w:rPr>
      <w:kern w:val="2"/>
      <w:sz w:val="18"/>
      <w:szCs w:val="18"/>
    </w:rPr>
  </w:style>
  <w:style w:type="paragraph" w:styleId="a8">
    <w:name w:val="Date"/>
    <w:basedOn w:val="a"/>
    <w:next w:val="a"/>
    <w:link w:val="Char0"/>
    <w:uiPriority w:val="99"/>
    <w:semiHidden/>
    <w:unhideWhenUsed/>
    <w:rsid w:val="0033072D"/>
    <w:pPr>
      <w:ind w:leftChars="2500" w:left="100"/>
    </w:pPr>
  </w:style>
  <w:style w:type="character" w:customStyle="1" w:styleId="Char0">
    <w:name w:val="日期 Char"/>
    <w:basedOn w:val="a0"/>
    <w:link w:val="a8"/>
    <w:uiPriority w:val="99"/>
    <w:semiHidden/>
    <w:rsid w:val="003307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79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771</Words>
  <Characters>833</Characters>
  <Application>Microsoft Office Word</Application>
  <DocSecurity>0</DocSecurity>
  <Lines>41</Lines>
  <Paragraphs>34</Paragraphs>
  <ScaleCrop>false</ScaleCrop>
  <Company>Sky123.Org</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关于召开“第二届中国锂电池电解液研讨会2013”的通知</dc:title>
  <dc:creator>微软用户</dc:creator>
  <cp:lastModifiedBy>Administrator</cp:lastModifiedBy>
  <cp:revision>37</cp:revision>
  <cp:lastPrinted>2020-06-15T00:32:00Z</cp:lastPrinted>
  <dcterms:created xsi:type="dcterms:W3CDTF">2016-04-07T06:53:00Z</dcterms:created>
  <dcterms:modified xsi:type="dcterms:W3CDTF">2021-03-02T06:46:00Z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